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F50E" w14:textId="77777777" w:rsidR="006F62E0" w:rsidRDefault="006F62E0" w:rsidP="006F62E0">
      <w:pPr>
        <w:jc w:val="center"/>
        <w:rPr>
          <w:rFonts w:ascii="DINRoundPro-Bold" w:hAnsi="DINRoundPro-Bold"/>
          <w:sz w:val="24"/>
          <w:szCs w:val="24"/>
        </w:rPr>
      </w:pPr>
      <w:r w:rsidRPr="00AA53D2">
        <w:rPr>
          <w:rFonts w:ascii="DINRoundPro-Bold" w:hAnsi="DINRoundPro-Bold"/>
          <w:sz w:val="24"/>
          <w:szCs w:val="24"/>
        </w:rPr>
        <w:t>Begriffs</w:t>
      </w:r>
      <w:r>
        <w:rPr>
          <w:rFonts w:ascii="DINRoundPro-Bold" w:hAnsi="DINRoundPro-Bold"/>
          <w:sz w:val="24"/>
          <w:szCs w:val="24"/>
        </w:rPr>
        <w:t>erklärungen</w:t>
      </w:r>
    </w:p>
    <w:p w14:paraId="1524E398" w14:textId="77777777" w:rsidR="006F62E0" w:rsidRPr="002360B2" w:rsidRDefault="006F62E0" w:rsidP="006F62E0">
      <w:pPr>
        <w:jc w:val="center"/>
        <w:rPr>
          <w:rFonts w:ascii="DINRoundPro-Bold" w:hAnsi="DINRoundPro-Bold"/>
          <w:sz w:val="24"/>
          <w:szCs w:val="24"/>
        </w:rPr>
      </w:pPr>
    </w:p>
    <w:p w14:paraId="433BF8F6" w14:textId="77777777" w:rsidR="006F62E0" w:rsidRPr="00C15C31" w:rsidRDefault="006F62E0" w:rsidP="006F62E0">
      <w:pPr>
        <w:rPr>
          <w:rFonts w:ascii="DINRoundPro" w:hAnsi="DINRoundPro"/>
          <w:b/>
          <w:bCs/>
          <w:sz w:val="32"/>
          <w:szCs w:val="32"/>
        </w:rPr>
      </w:pPr>
      <w:r w:rsidRPr="00C15C31">
        <w:rPr>
          <w:rFonts w:ascii="DINRoundPro" w:hAnsi="DINRoundPro"/>
          <w:b/>
          <w:bCs/>
          <w:sz w:val="32"/>
          <w:szCs w:val="32"/>
        </w:rPr>
        <w:t>SEXTING</w:t>
      </w:r>
    </w:p>
    <w:p w14:paraId="6ECADECA" w14:textId="77777777" w:rsidR="006F62E0" w:rsidRPr="005F41C0" w:rsidRDefault="006F62E0" w:rsidP="006F62E0">
      <w:pPr>
        <w:rPr>
          <w:rFonts w:ascii="DINRoundPro" w:hAnsi="DINRoundPro"/>
          <w:sz w:val="24"/>
          <w:szCs w:val="24"/>
        </w:rPr>
      </w:pPr>
      <w:r w:rsidRPr="00B350DA">
        <w:rPr>
          <w:rFonts w:ascii="DINRoundPro" w:hAnsi="DINRoundPro"/>
          <w:sz w:val="24"/>
          <w:szCs w:val="24"/>
        </w:rPr>
        <w:t>Der Begriff „Sexting“ setzt sich zusammen aus „Sex“ und „Texting“ (Englisch für das Sen-den von Textnachrichten) und meint vor allem das Verschicken und Tauschen von Nacktaufnahmen per Internet und Handy</w:t>
      </w:r>
      <w:r>
        <w:rPr>
          <w:rFonts w:ascii="DINRoundPro" w:hAnsi="DINRoundPro"/>
          <w:sz w:val="24"/>
          <w:szCs w:val="24"/>
        </w:rPr>
        <w:t>, aber auch das Verschicken und der Austausch von erotischen Textnachrichten.</w:t>
      </w:r>
    </w:p>
    <w:p w14:paraId="77D1DB06" w14:textId="77777777" w:rsidR="006F62E0" w:rsidRPr="00C15C31" w:rsidRDefault="006F62E0" w:rsidP="006F62E0">
      <w:pPr>
        <w:rPr>
          <w:rFonts w:ascii="DINRoundPro" w:hAnsi="DINRoundPro"/>
          <w:b/>
          <w:bCs/>
          <w:sz w:val="32"/>
          <w:szCs w:val="32"/>
        </w:rPr>
      </w:pPr>
      <w:r w:rsidRPr="00C15C31">
        <w:rPr>
          <w:rFonts w:ascii="DINRoundPro" w:hAnsi="DINRoundPro"/>
          <w:b/>
          <w:bCs/>
          <w:sz w:val="32"/>
          <w:szCs w:val="32"/>
        </w:rPr>
        <w:t>VICTIM BLAMING</w:t>
      </w:r>
    </w:p>
    <w:p w14:paraId="48CC67E5" w14:textId="77777777" w:rsidR="006F62E0" w:rsidRDefault="006F62E0" w:rsidP="006F62E0">
      <w:pPr>
        <w:jc w:val="both"/>
        <w:rPr>
          <w:rFonts w:ascii="DINRoundPro" w:hAnsi="DINRoundPro"/>
          <w:sz w:val="24"/>
          <w:szCs w:val="24"/>
        </w:rPr>
      </w:pPr>
      <w:r w:rsidRPr="001C2D81">
        <w:rPr>
          <w:rFonts w:ascii="DINRoundPro" w:hAnsi="DINRoundPro"/>
          <w:b/>
          <w:bCs/>
          <w:sz w:val="24"/>
          <w:szCs w:val="24"/>
        </w:rPr>
        <w:t>Victim blaming</w:t>
      </w:r>
      <w:r w:rsidRPr="001C2D81">
        <w:rPr>
          <w:rFonts w:ascii="DINRoundPro" w:hAnsi="DINRoundPro"/>
          <w:sz w:val="24"/>
          <w:szCs w:val="24"/>
        </w:rPr>
        <w:t xml:space="preserve"> oder </w:t>
      </w:r>
      <w:r w:rsidRPr="001C2D81">
        <w:rPr>
          <w:rFonts w:ascii="DINRoundPro" w:hAnsi="DINRoundPro"/>
          <w:b/>
          <w:bCs/>
          <w:sz w:val="24"/>
          <w:szCs w:val="24"/>
        </w:rPr>
        <w:t>blaming the victim</w:t>
      </w:r>
      <w:r w:rsidRPr="001C2D81">
        <w:rPr>
          <w:rFonts w:ascii="DINRoundPro" w:hAnsi="DINRoundPro"/>
          <w:sz w:val="24"/>
          <w:szCs w:val="24"/>
        </w:rPr>
        <w:t xml:space="preserve">, </w:t>
      </w:r>
      <w:hyperlink r:id="rId7" w:tooltip="Deutsche Sprache" w:history="1">
        <w:r w:rsidRPr="001C2D81">
          <w:rPr>
            <w:rStyle w:val="Hyperlink"/>
            <w:rFonts w:ascii="DINRoundPro" w:hAnsi="DINRoundPro"/>
            <w:sz w:val="24"/>
            <w:szCs w:val="24"/>
          </w:rPr>
          <w:t>deutsch</w:t>
        </w:r>
      </w:hyperlink>
      <w:r w:rsidRPr="001C2D81">
        <w:rPr>
          <w:rFonts w:ascii="DINRoundPro" w:hAnsi="DINRoundPro"/>
          <w:sz w:val="24"/>
          <w:szCs w:val="24"/>
        </w:rPr>
        <w:t xml:space="preserve"> </w:t>
      </w:r>
      <w:r w:rsidRPr="001C2D81">
        <w:rPr>
          <w:rFonts w:ascii="DINRoundPro" w:hAnsi="DINRoundPro"/>
          <w:b/>
          <w:bCs/>
          <w:sz w:val="24"/>
          <w:szCs w:val="24"/>
        </w:rPr>
        <w:t>Täter-Opfer-Umkehr</w:t>
      </w:r>
      <w:r w:rsidRPr="001C2D81">
        <w:rPr>
          <w:rFonts w:ascii="DINRoundPro" w:hAnsi="DINRoundPro"/>
          <w:sz w:val="24"/>
          <w:szCs w:val="24"/>
        </w:rPr>
        <w:t xml:space="preserve"> und </w:t>
      </w:r>
      <w:r w:rsidRPr="001C2D81">
        <w:rPr>
          <w:rFonts w:ascii="DINRoundPro" w:hAnsi="DINRoundPro"/>
          <w:b/>
          <w:bCs/>
          <w:sz w:val="24"/>
          <w:szCs w:val="24"/>
        </w:rPr>
        <w:t>Opferbeschuldigung</w:t>
      </w:r>
      <w:r w:rsidRPr="001C2D81">
        <w:rPr>
          <w:rFonts w:ascii="DINRoundPro" w:hAnsi="DINRoundPro"/>
          <w:sz w:val="24"/>
          <w:szCs w:val="24"/>
        </w:rPr>
        <w:t xml:space="preserve"> ist die Beschreibung für ein Vorgehen, das die Schuld für einen Übergriff beim </w:t>
      </w:r>
      <w:hyperlink r:id="rId8" w:tooltip="Opfer (Kriminologie)" w:history="1">
        <w:r w:rsidRPr="001C2D81">
          <w:rPr>
            <w:rStyle w:val="Hyperlink"/>
            <w:rFonts w:ascii="DINRoundPro" w:hAnsi="DINRoundPro"/>
            <w:sz w:val="24"/>
            <w:szCs w:val="24"/>
          </w:rPr>
          <w:t>Opfer</w:t>
        </w:r>
      </w:hyperlink>
      <w:r w:rsidRPr="001C2D81">
        <w:rPr>
          <w:rFonts w:ascii="DINRoundPro" w:hAnsi="DINRoundPro"/>
          <w:sz w:val="24"/>
          <w:szCs w:val="24"/>
        </w:rPr>
        <w:t xml:space="preserve"> selbst sucht. Wenn im Rahmen von z. B. </w:t>
      </w:r>
      <w:hyperlink r:id="rId9" w:tooltip="Nötigung (Deutschland)" w:history="1">
        <w:r w:rsidRPr="001C2D81">
          <w:rPr>
            <w:rFonts w:ascii="DINRoundPro" w:hAnsi="DINRoundPro"/>
            <w:sz w:val="24"/>
            <w:szCs w:val="24"/>
          </w:rPr>
          <w:t>Nötigung</w:t>
        </w:r>
      </w:hyperlink>
      <w:r w:rsidRPr="001C2D81">
        <w:rPr>
          <w:rFonts w:ascii="DINRoundPro" w:hAnsi="DINRoundPro"/>
          <w:sz w:val="24"/>
          <w:szCs w:val="24"/>
        </w:rPr>
        <w:t xml:space="preserve">, </w:t>
      </w:r>
      <w:hyperlink r:id="rId10" w:tooltip="Erpressung" w:history="1">
        <w:r w:rsidRPr="001C2D81">
          <w:rPr>
            <w:rFonts w:ascii="DINRoundPro" w:hAnsi="DINRoundPro"/>
            <w:sz w:val="24"/>
            <w:szCs w:val="24"/>
          </w:rPr>
          <w:t>Erpressung</w:t>
        </w:r>
      </w:hyperlink>
      <w:r w:rsidRPr="001C2D81">
        <w:rPr>
          <w:rFonts w:ascii="DINRoundPro" w:hAnsi="DINRoundPro"/>
          <w:sz w:val="24"/>
          <w:szCs w:val="24"/>
        </w:rPr>
        <w:t xml:space="preserve"> oder der </w:t>
      </w:r>
      <w:hyperlink r:id="rId11" w:tooltip="Verletzung des höchstpersönlichen Lebensbereichs durch Bildaufnahmen" w:history="1">
        <w:r w:rsidRPr="001C2D81">
          <w:rPr>
            <w:rFonts w:ascii="DINRoundPro" w:hAnsi="DINRoundPro"/>
            <w:sz w:val="24"/>
            <w:szCs w:val="24"/>
          </w:rPr>
          <w:t>Verletzung des höchstpersönlichen Lebensbereichs durch Bildaufnahmen</w:t>
        </w:r>
      </w:hyperlink>
      <w:r w:rsidRPr="001C2D81">
        <w:rPr>
          <w:rFonts w:ascii="DINRoundPro" w:hAnsi="DINRoundPro"/>
          <w:sz w:val="24"/>
          <w:szCs w:val="24"/>
        </w:rPr>
        <w:t xml:space="preserve"> Nacktbilder in Umlauf kommen, wird der Fokus oft auf die Erstellung und Existenz solchen Bildmaterials gelegt, nicht auf die Straftaten, die bei Verbreitung oder Beschaffung vorlagen.</w:t>
      </w:r>
      <w:r>
        <w:rPr>
          <w:rFonts w:ascii="DINRoundPro" w:hAnsi="DINRoundPro"/>
          <w:sz w:val="24"/>
          <w:szCs w:val="24"/>
        </w:rPr>
        <w:t xml:space="preserve"> [vgl. Warum Sexting und Jugendlichen (k)ein Problem ist; medienbewusst.de]</w:t>
      </w:r>
      <w:r w:rsidRPr="001C2D81">
        <w:rPr>
          <w:rFonts w:ascii="DINRoundPro" w:hAnsi="DINRoundPro"/>
          <w:sz w:val="24"/>
          <w:szCs w:val="24"/>
        </w:rPr>
        <w:t xml:space="preserve"> </w:t>
      </w:r>
      <w:r w:rsidRPr="00EC16AE">
        <w:rPr>
          <w:rFonts w:ascii="DINRoundPro" w:hAnsi="DINRoundPro"/>
          <w:b/>
          <w:bCs/>
          <w:sz w:val="24"/>
          <w:szCs w:val="24"/>
        </w:rPr>
        <w:t>HINWEIS:</w:t>
      </w:r>
      <w:r>
        <w:rPr>
          <w:rFonts w:ascii="DINRoundPro" w:hAnsi="DINRoundPro"/>
          <w:sz w:val="24"/>
          <w:szCs w:val="24"/>
        </w:rPr>
        <w:t xml:space="preserve"> Dieser Begriff kann bei Fallbeispiel 4 thematisiert werden.</w:t>
      </w:r>
    </w:p>
    <w:p w14:paraId="64BA99A0" w14:textId="77777777" w:rsidR="006F62E0" w:rsidRPr="00F14340" w:rsidRDefault="006F62E0" w:rsidP="006F62E0">
      <w:pPr>
        <w:rPr>
          <w:rFonts w:ascii="DINRoundPro" w:hAnsi="DINRoundPro"/>
          <w:b/>
          <w:bCs/>
          <w:sz w:val="32"/>
          <w:szCs w:val="32"/>
        </w:rPr>
      </w:pPr>
      <w:r w:rsidRPr="00F14340">
        <w:rPr>
          <w:rFonts w:ascii="DINRoundPro" w:hAnsi="DINRoundPro"/>
          <w:b/>
          <w:bCs/>
          <w:sz w:val="32"/>
          <w:szCs w:val="32"/>
        </w:rPr>
        <w:t>SEXTORTION</w:t>
      </w:r>
    </w:p>
    <w:p w14:paraId="65A47C5E" w14:textId="77777777" w:rsidR="006F62E0" w:rsidRDefault="006F62E0" w:rsidP="006F62E0">
      <w:pPr>
        <w:jc w:val="both"/>
        <w:rPr>
          <w:rFonts w:ascii="DINRoundPro" w:eastAsia="Times New Roman" w:hAnsi="DINRoundPro" w:cs="Times New Roman"/>
          <w:sz w:val="24"/>
          <w:szCs w:val="24"/>
          <w:lang w:eastAsia="de-DE"/>
        </w:rPr>
      </w:pPr>
      <w:r w:rsidRPr="00F14340">
        <w:rPr>
          <w:rFonts w:ascii="DINRoundPro" w:eastAsia="Times New Roman" w:hAnsi="DINRoundPro" w:cs="Times New Roman"/>
          <w:sz w:val="24"/>
          <w:szCs w:val="24"/>
          <w:lang w:eastAsia="de-DE"/>
        </w:rPr>
        <w:t xml:space="preserve">Der Begriff </w:t>
      </w:r>
      <w:r w:rsidRPr="00F14340">
        <w:rPr>
          <w:rFonts w:ascii="DINRoundPro" w:eastAsia="Times New Roman" w:hAnsi="DINRoundPro" w:cs="Times New Roman"/>
          <w:b/>
          <w:bCs/>
          <w:sz w:val="24"/>
          <w:szCs w:val="24"/>
          <w:lang w:eastAsia="de-DE"/>
        </w:rPr>
        <w:t>„Sextortion“</w:t>
      </w:r>
      <w:r w:rsidRPr="00F14340">
        <w:rPr>
          <w:rFonts w:ascii="DINRoundPro" w:eastAsia="Times New Roman" w:hAnsi="DINRoundPro" w:cs="Times New Roman"/>
          <w:sz w:val="24"/>
          <w:szCs w:val="24"/>
          <w:lang w:eastAsia="de-DE"/>
        </w:rPr>
        <w:t xml:space="preserve"> setzt sich aus den englischen Wörtern Sex und Extortion </w:t>
      </w:r>
      <w:r>
        <w:rPr>
          <w:rFonts w:ascii="DINRoundPro" w:eastAsia="Times New Roman" w:hAnsi="DINRoundPro" w:cs="Times New Roman"/>
          <w:sz w:val="24"/>
          <w:szCs w:val="24"/>
          <w:lang w:eastAsia="de-DE"/>
        </w:rPr>
        <w:t xml:space="preserve">[engl. </w:t>
      </w:r>
      <w:r w:rsidRPr="00F14340">
        <w:rPr>
          <w:rFonts w:ascii="DINRoundPro" w:eastAsia="Times New Roman" w:hAnsi="DINRoundPro" w:cs="Times New Roman"/>
          <w:sz w:val="24"/>
          <w:szCs w:val="24"/>
          <w:lang w:eastAsia="de-DE"/>
        </w:rPr>
        <w:t>Erpressung</w:t>
      </w:r>
      <w:r>
        <w:rPr>
          <w:rFonts w:ascii="DINRoundPro" w:eastAsia="Times New Roman" w:hAnsi="DINRoundPro" w:cs="Times New Roman"/>
          <w:sz w:val="24"/>
          <w:szCs w:val="24"/>
          <w:lang w:eastAsia="de-DE"/>
        </w:rPr>
        <w:t xml:space="preserve">] </w:t>
      </w:r>
      <w:r w:rsidRPr="00F14340">
        <w:rPr>
          <w:rFonts w:ascii="DINRoundPro" w:eastAsia="Times New Roman" w:hAnsi="DINRoundPro" w:cs="Times New Roman"/>
          <w:sz w:val="24"/>
          <w:szCs w:val="24"/>
          <w:lang w:eastAsia="de-DE"/>
        </w:rPr>
        <w:t>zusammen. Bei Sextortion geht es um Erpressung</w:t>
      </w:r>
      <w:r>
        <w:rPr>
          <w:rFonts w:ascii="DINRoundPro" w:eastAsia="Times New Roman" w:hAnsi="DINRoundPro" w:cs="Times New Roman"/>
          <w:sz w:val="24"/>
          <w:szCs w:val="24"/>
          <w:lang w:eastAsia="de-DE"/>
        </w:rPr>
        <w:t xml:space="preserve"> anhand von Bildern/Videos mit sexuellen Inhalten. Bild- und/ oder Videomaterial wird dafür verwendet, um eine Person zu bedrohen oder zu erpressen. </w:t>
      </w:r>
    </w:p>
    <w:p w14:paraId="72441BE7" w14:textId="77777777" w:rsidR="006F62E0" w:rsidRDefault="006F62E0" w:rsidP="006F62E0">
      <w:pPr>
        <w:jc w:val="both"/>
        <w:rPr>
          <w:rFonts w:ascii="DINRoundPro" w:eastAsia="Times New Roman" w:hAnsi="DINRoundPro" w:cs="Times New Roman"/>
          <w:sz w:val="24"/>
          <w:szCs w:val="24"/>
          <w:lang w:eastAsia="de-DE"/>
        </w:rPr>
      </w:pPr>
      <w:r w:rsidRPr="00EC16AE">
        <w:rPr>
          <w:rFonts w:ascii="DINRoundPro" w:hAnsi="DINRoundPro"/>
          <w:b/>
          <w:bCs/>
          <w:sz w:val="24"/>
          <w:szCs w:val="24"/>
        </w:rPr>
        <w:t>HINWEIS:</w:t>
      </w:r>
      <w:r w:rsidRPr="002360B2">
        <w:rPr>
          <w:rFonts w:ascii="DINRoundPro" w:hAnsi="DINRoundPro"/>
          <w:sz w:val="24"/>
          <w:szCs w:val="24"/>
        </w:rPr>
        <w:t xml:space="preserve"> Fallbeispiel 1 &amp; 5 bieten dazu Anknüpfungspunkte für eine Besprechung des Begriffs.</w:t>
      </w:r>
    </w:p>
    <w:p w14:paraId="39EF737D" w14:textId="77777777" w:rsidR="006F62E0" w:rsidRPr="00C15C31" w:rsidRDefault="006F62E0" w:rsidP="006F62E0">
      <w:pPr>
        <w:rPr>
          <w:rFonts w:ascii="DINRoundPro" w:hAnsi="DINRoundPro"/>
          <w:b/>
          <w:bCs/>
          <w:sz w:val="32"/>
          <w:szCs w:val="32"/>
        </w:rPr>
      </w:pPr>
      <w:r w:rsidRPr="00C15C31">
        <w:rPr>
          <w:rFonts w:ascii="DINRoundPro" w:hAnsi="DINRoundPro"/>
          <w:b/>
          <w:bCs/>
          <w:sz w:val="32"/>
          <w:szCs w:val="32"/>
        </w:rPr>
        <w:t>Q&amp;A</w:t>
      </w:r>
    </w:p>
    <w:p w14:paraId="322E64F1" w14:textId="77777777" w:rsidR="006F62E0" w:rsidRDefault="006F62E0" w:rsidP="006F62E0">
      <w:pPr>
        <w:jc w:val="both"/>
        <w:rPr>
          <w:rFonts w:ascii="DINRoundPro" w:hAnsi="DINRoundPro"/>
          <w:sz w:val="24"/>
          <w:szCs w:val="24"/>
        </w:rPr>
      </w:pPr>
      <w:r w:rsidRPr="005F41C0">
        <w:rPr>
          <w:rFonts w:ascii="DINRoundPro" w:hAnsi="DINRoundPro"/>
          <w:sz w:val="24"/>
          <w:szCs w:val="24"/>
        </w:rPr>
        <w:t>Wenn auf Social Media Kanälen von Q&amp;A´s gesprochen wird</w:t>
      </w:r>
      <w:r>
        <w:rPr>
          <w:rFonts w:ascii="DINRoundPro" w:hAnsi="DINRoundPro"/>
          <w:sz w:val="24"/>
          <w:szCs w:val="24"/>
        </w:rPr>
        <w:t>,</w:t>
      </w:r>
      <w:r w:rsidRPr="005F41C0">
        <w:rPr>
          <w:rFonts w:ascii="DINRoundPro" w:hAnsi="DINRoundPro"/>
          <w:sz w:val="24"/>
          <w:szCs w:val="24"/>
        </w:rPr>
        <w:t xml:space="preserve"> sind dies von einer Person gestellte </w:t>
      </w:r>
      <w:r>
        <w:rPr>
          <w:rFonts w:ascii="DINRoundPro" w:hAnsi="DINRoundPro"/>
          <w:sz w:val="24"/>
          <w:szCs w:val="24"/>
        </w:rPr>
        <w:t>Fragen (</w:t>
      </w:r>
      <w:r w:rsidRPr="005F41C0">
        <w:rPr>
          <w:rFonts w:ascii="DINRoundPro" w:hAnsi="DINRoundPro"/>
          <w:sz w:val="24"/>
          <w:szCs w:val="24"/>
        </w:rPr>
        <w:t>„Questions“</w:t>
      </w:r>
      <w:r>
        <w:rPr>
          <w:rFonts w:ascii="DINRoundPro" w:hAnsi="DINRoundPro"/>
          <w:sz w:val="24"/>
          <w:szCs w:val="24"/>
        </w:rPr>
        <w:t xml:space="preserve">) an die Follower*innen, </w:t>
      </w:r>
      <w:r w:rsidRPr="005F41C0">
        <w:rPr>
          <w:rFonts w:ascii="DINRoundPro" w:hAnsi="DINRoundPro"/>
          <w:sz w:val="24"/>
          <w:szCs w:val="24"/>
        </w:rPr>
        <w:t xml:space="preserve">um darauf eine Meinung </w:t>
      </w:r>
      <w:r>
        <w:rPr>
          <w:rFonts w:ascii="DINRoundPro" w:hAnsi="DINRoundPro"/>
          <w:sz w:val="24"/>
          <w:szCs w:val="24"/>
        </w:rPr>
        <w:t xml:space="preserve">(„Answers“) </w:t>
      </w:r>
      <w:r w:rsidRPr="005F41C0">
        <w:rPr>
          <w:rFonts w:ascii="DINRoundPro" w:hAnsi="DINRoundPro"/>
          <w:sz w:val="24"/>
          <w:szCs w:val="24"/>
        </w:rPr>
        <w:t xml:space="preserve">von </w:t>
      </w:r>
      <w:r>
        <w:rPr>
          <w:rFonts w:ascii="DINRoundPro" w:hAnsi="DINRoundPro"/>
          <w:sz w:val="24"/>
          <w:szCs w:val="24"/>
        </w:rPr>
        <w:t>ihnen</w:t>
      </w:r>
      <w:r w:rsidRPr="005F41C0">
        <w:rPr>
          <w:rFonts w:ascii="DINRoundPro" w:hAnsi="DINRoundPro"/>
          <w:sz w:val="24"/>
          <w:szCs w:val="24"/>
        </w:rPr>
        <w:t xml:space="preserve"> zu erhalten. Im Zusammenhang mit </w:t>
      </w:r>
      <w:r>
        <w:rPr>
          <w:rFonts w:ascii="DINRoundPro" w:hAnsi="DINRoundPro"/>
          <w:sz w:val="24"/>
          <w:szCs w:val="24"/>
        </w:rPr>
        <w:t xml:space="preserve">dem Thema </w:t>
      </w:r>
      <w:r w:rsidRPr="005F41C0">
        <w:rPr>
          <w:rFonts w:ascii="DINRoundPro" w:hAnsi="DINRoundPro"/>
          <w:sz w:val="24"/>
          <w:szCs w:val="24"/>
        </w:rPr>
        <w:t xml:space="preserve">„Sexting“ werden </w:t>
      </w:r>
      <w:r>
        <w:rPr>
          <w:rFonts w:ascii="DINRoundPro" w:hAnsi="DINRoundPro"/>
          <w:sz w:val="24"/>
          <w:szCs w:val="24"/>
        </w:rPr>
        <w:t xml:space="preserve">dabei sehr </w:t>
      </w:r>
      <w:r w:rsidRPr="005F41C0">
        <w:rPr>
          <w:rFonts w:ascii="DINRoundPro" w:hAnsi="DINRoundPro"/>
          <w:sz w:val="24"/>
          <w:szCs w:val="24"/>
        </w:rPr>
        <w:t xml:space="preserve">öffentliche Fragen zum Thema „Sex“ über den eigenen Account </w:t>
      </w:r>
      <w:r>
        <w:rPr>
          <w:rFonts w:ascii="DINRoundPro" w:hAnsi="DINRoundPro"/>
          <w:sz w:val="24"/>
          <w:szCs w:val="24"/>
        </w:rPr>
        <w:t xml:space="preserve">verbreitet. </w:t>
      </w:r>
      <w:r w:rsidRPr="00EC16AE">
        <w:rPr>
          <w:rFonts w:ascii="DINRoundPro" w:hAnsi="DINRoundPro"/>
          <w:b/>
          <w:bCs/>
          <w:sz w:val="24"/>
          <w:szCs w:val="24"/>
        </w:rPr>
        <w:t>HINWEIS:</w:t>
      </w:r>
      <w:r>
        <w:rPr>
          <w:rFonts w:ascii="DINRoundPro" w:hAnsi="DINRoundPro"/>
          <w:b/>
          <w:bCs/>
          <w:sz w:val="24"/>
          <w:szCs w:val="24"/>
        </w:rPr>
        <w:t xml:space="preserve"> </w:t>
      </w:r>
      <w:r>
        <w:rPr>
          <w:rFonts w:ascii="DINRoundPro" w:hAnsi="DINRoundPro"/>
          <w:sz w:val="24"/>
          <w:szCs w:val="24"/>
        </w:rPr>
        <w:t>Diese</w:t>
      </w:r>
      <w:r w:rsidRPr="002360B2">
        <w:rPr>
          <w:rFonts w:ascii="DINRoundPro" w:hAnsi="DINRoundPro"/>
          <w:sz w:val="24"/>
          <w:szCs w:val="24"/>
        </w:rPr>
        <w:t xml:space="preserve"> Abkürzung </w:t>
      </w:r>
      <w:r>
        <w:rPr>
          <w:rFonts w:ascii="DINRoundPro" w:hAnsi="DINRoundPro"/>
          <w:sz w:val="24"/>
          <w:szCs w:val="24"/>
        </w:rPr>
        <w:t>kennen</w:t>
      </w:r>
      <w:r w:rsidRPr="002360B2">
        <w:rPr>
          <w:rFonts w:ascii="DINRoundPro" w:hAnsi="DINRoundPro"/>
          <w:sz w:val="24"/>
          <w:szCs w:val="24"/>
        </w:rPr>
        <w:t xml:space="preserve"> die Jugendlichen vermutlich über Social Med</w:t>
      </w:r>
      <w:r>
        <w:rPr>
          <w:rFonts w:ascii="DINRoundPro" w:hAnsi="DINRoundPro"/>
          <w:sz w:val="24"/>
          <w:szCs w:val="24"/>
        </w:rPr>
        <w:t>ia.</w:t>
      </w:r>
      <w:r w:rsidRPr="002360B2">
        <w:rPr>
          <w:rFonts w:ascii="DINRoundPro" w:hAnsi="DINRoundPro"/>
          <w:sz w:val="24"/>
          <w:szCs w:val="24"/>
        </w:rPr>
        <w:t xml:space="preserve"> Erfahru</w:t>
      </w:r>
      <w:r>
        <w:rPr>
          <w:rFonts w:ascii="DINRoundPro" w:hAnsi="DINRoundPro"/>
          <w:sz w:val="24"/>
          <w:szCs w:val="24"/>
        </w:rPr>
        <w:t>n</w:t>
      </w:r>
      <w:r w:rsidRPr="002360B2">
        <w:rPr>
          <w:rFonts w:ascii="DINRoundPro" w:hAnsi="DINRoundPro"/>
          <w:sz w:val="24"/>
          <w:szCs w:val="24"/>
        </w:rPr>
        <w:t>gen und Meinungen dazu können bei den Fallbeispielen besprochen werden.</w:t>
      </w:r>
    </w:p>
    <w:p w14:paraId="7BE56F36" w14:textId="33A96A07" w:rsidR="00E106AE" w:rsidRPr="006F62E0" w:rsidRDefault="00E106AE" w:rsidP="006F62E0"/>
    <w:sectPr w:rsidR="00E106AE" w:rsidRPr="006F62E0" w:rsidSect="008025F7">
      <w:foot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F4954" w14:textId="77777777" w:rsidR="007B6A23" w:rsidRDefault="007B6A23" w:rsidP="007B6A23">
      <w:pPr>
        <w:spacing w:before="0" w:after="0" w:line="240" w:lineRule="auto"/>
      </w:pPr>
      <w:r>
        <w:separator/>
      </w:r>
    </w:p>
  </w:endnote>
  <w:endnote w:type="continuationSeparator" w:id="0">
    <w:p w14:paraId="0684A21C" w14:textId="77777777" w:rsidR="007B6A23" w:rsidRDefault="007B6A23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RoundPro-Bold">
    <w:panose1 w:val="020B08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DINRoundPro">
    <w:panose1 w:val="020B05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ooter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2B4A" w14:textId="77777777" w:rsidR="007B6A23" w:rsidRDefault="007B6A23" w:rsidP="007B6A23">
      <w:pPr>
        <w:spacing w:before="0" w:after="0" w:line="240" w:lineRule="auto"/>
      </w:pPr>
      <w:r>
        <w:separator/>
      </w:r>
    </w:p>
  </w:footnote>
  <w:footnote w:type="continuationSeparator" w:id="0">
    <w:p w14:paraId="46273337" w14:textId="77777777" w:rsidR="007B6A23" w:rsidRDefault="007B6A23" w:rsidP="007B6A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80D"/>
    <w:multiLevelType w:val="hybridMultilevel"/>
    <w:tmpl w:val="FB2C8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572"/>
    <w:multiLevelType w:val="hybridMultilevel"/>
    <w:tmpl w:val="F7E22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3DF0"/>
    <w:multiLevelType w:val="hybridMultilevel"/>
    <w:tmpl w:val="DFBE1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6F62E0"/>
    <w:rsid w:val="007B6A23"/>
    <w:rsid w:val="008025F7"/>
    <w:rsid w:val="00955DA0"/>
    <w:rsid w:val="00DA70B4"/>
    <w:rsid w:val="00E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23"/>
    <w:rPr>
      <w:rFonts w:eastAsiaTheme="minorEastAsia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23"/>
    <w:rPr>
      <w:rFonts w:eastAsiaTheme="minorEastAsia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95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5DA0"/>
    <w:pPr>
      <w:ind w:left="720"/>
      <w:contextualSpacing/>
    </w:pPr>
  </w:style>
  <w:style w:type="table" w:styleId="TableGrid">
    <w:name w:val="Table Grid"/>
    <w:basedOn w:val="TableNormal"/>
    <w:uiPriority w:val="39"/>
    <w:rsid w:val="00DA70B4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Opfer_(Kriminologi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Deutsche_Sprach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Verletzung_des_h%C3%B6chstpers%C3%B6nlichen_Lebensbereichs_durch_Bildaufnahm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.wikipedia.org/wiki/Erpress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N%C3%B6tigung_(Deutschland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2</cp:revision>
  <dcterms:created xsi:type="dcterms:W3CDTF">2020-09-22T13:16:00Z</dcterms:created>
  <dcterms:modified xsi:type="dcterms:W3CDTF">2020-09-22T13:16:00Z</dcterms:modified>
</cp:coreProperties>
</file>